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8A" w:rsidRPr="00DC21A6" w:rsidRDefault="0033378A" w:rsidP="0033378A">
      <w:pPr>
        <w:spacing w:line="276" w:lineRule="auto"/>
        <w:jc w:val="center"/>
        <w:rPr>
          <w:b/>
          <w:sz w:val="28"/>
          <w:szCs w:val="28"/>
        </w:rPr>
      </w:pPr>
      <w:r w:rsidRPr="00DC21A6">
        <w:rPr>
          <w:b/>
          <w:sz w:val="28"/>
          <w:szCs w:val="28"/>
        </w:rPr>
        <w:t xml:space="preserve">Итоги независимой оценки качества </w:t>
      </w:r>
    </w:p>
    <w:p w:rsidR="0033378A" w:rsidRPr="0033378A" w:rsidRDefault="0033378A" w:rsidP="0033378A">
      <w:pPr>
        <w:spacing w:line="276" w:lineRule="auto"/>
        <w:jc w:val="center"/>
        <w:rPr>
          <w:sz w:val="28"/>
          <w:szCs w:val="28"/>
        </w:rPr>
      </w:pPr>
      <w:r w:rsidRPr="0033378A">
        <w:rPr>
          <w:sz w:val="28"/>
          <w:szCs w:val="28"/>
        </w:rPr>
        <w:t>условий осуществления образовательной деятельности организаций, реализующих</w:t>
      </w:r>
      <w:r>
        <w:rPr>
          <w:sz w:val="28"/>
          <w:szCs w:val="28"/>
        </w:rPr>
        <w:t xml:space="preserve"> </w:t>
      </w:r>
      <w:r w:rsidRPr="0033378A">
        <w:rPr>
          <w:sz w:val="28"/>
          <w:szCs w:val="28"/>
        </w:rPr>
        <w:t>программы дошкольного образования, осуществляющих образовательную</w:t>
      </w:r>
      <w:r>
        <w:rPr>
          <w:sz w:val="28"/>
          <w:szCs w:val="28"/>
        </w:rPr>
        <w:t xml:space="preserve"> деятельность на территории П</w:t>
      </w:r>
      <w:r w:rsidRPr="0033378A">
        <w:rPr>
          <w:sz w:val="28"/>
          <w:szCs w:val="28"/>
        </w:rPr>
        <w:t>ермского края</w:t>
      </w:r>
    </w:p>
    <w:p w:rsidR="0033378A" w:rsidRDefault="0033378A" w:rsidP="0033378A">
      <w:pPr>
        <w:spacing w:line="276" w:lineRule="auto"/>
        <w:jc w:val="center"/>
        <w:rPr>
          <w:sz w:val="28"/>
          <w:szCs w:val="28"/>
        </w:rPr>
      </w:pPr>
      <w:r w:rsidRPr="0033378A">
        <w:rPr>
          <w:sz w:val="28"/>
          <w:szCs w:val="28"/>
        </w:rPr>
        <w:t>в 2025 году</w:t>
      </w:r>
    </w:p>
    <w:p w:rsidR="0033378A" w:rsidRDefault="0033378A" w:rsidP="0033378A">
      <w:pPr>
        <w:spacing w:line="276" w:lineRule="auto"/>
        <w:jc w:val="center"/>
        <w:rPr>
          <w:sz w:val="28"/>
          <w:szCs w:val="28"/>
        </w:rPr>
      </w:pPr>
    </w:p>
    <w:p w:rsidR="0033378A" w:rsidRPr="0033378A" w:rsidRDefault="0033378A" w:rsidP="0033378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3378A">
        <w:rPr>
          <w:sz w:val="28"/>
          <w:szCs w:val="28"/>
        </w:rPr>
        <w:t>Период прохождения НОКО – сентябрь-октябрь 2025 года</w:t>
      </w:r>
    </w:p>
    <w:p w:rsidR="0033378A" w:rsidRPr="0033378A" w:rsidRDefault="0033378A" w:rsidP="0033378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3378A">
        <w:rPr>
          <w:sz w:val="28"/>
          <w:szCs w:val="28"/>
        </w:rPr>
        <w:t xml:space="preserve">В Пермском крае принимали участие 250 структурных подразделений общеобразовательных организаций </w:t>
      </w:r>
    </w:p>
    <w:p w:rsidR="0033378A" w:rsidRPr="0033378A" w:rsidRDefault="0033378A" w:rsidP="0033378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3378A">
        <w:rPr>
          <w:sz w:val="28"/>
          <w:szCs w:val="28"/>
        </w:rPr>
        <w:t xml:space="preserve">В Частинском муниципальном округе - 14 структурных подразделений 6 общеобразовательных школ </w:t>
      </w:r>
    </w:p>
    <w:p w:rsidR="0033378A" w:rsidRDefault="0033378A" w:rsidP="0033378A">
      <w:pPr>
        <w:spacing w:line="276" w:lineRule="auto"/>
        <w:rPr>
          <w:sz w:val="28"/>
          <w:szCs w:val="28"/>
        </w:rPr>
      </w:pPr>
    </w:p>
    <w:p w:rsidR="0033378A" w:rsidRDefault="0033378A" w:rsidP="0033378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НОКО из 41 муниципалитета Пермского края Частинский МО </w:t>
      </w:r>
      <w:r w:rsidRPr="00DC21A6">
        <w:rPr>
          <w:b/>
          <w:sz w:val="28"/>
          <w:szCs w:val="28"/>
        </w:rPr>
        <w:t>занял 2 место</w:t>
      </w:r>
      <w:r>
        <w:rPr>
          <w:sz w:val="28"/>
          <w:szCs w:val="28"/>
        </w:rPr>
        <w:t xml:space="preserve">! </w:t>
      </w:r>
      <w:r w:rsidR="00196F85">
        <w:rPr>
          <w:sz w:val="28"/>
          <w:szCs w:val="28"/>
        </w:rPr>
        <w:t>(в 2022 году занимали 10 место из 46 муниципалитетов)</w:t>
      </w:r>
      <w:r>
        <w:rPr>
          <w:sz w:val="28"/>
          <w:szCs w:val="28"/>
        </w:rPr>
        <w:t xml:space="preserve">. </w:t>
      </w:r>
    </w:p>
    <w:p w:rsidR="0033378A" w:rsidRDefault="0033378A" w:rsidP="0033378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Также Частинский МО в числе 4 муниципалитетов сохранил лидерские позиции (топ 15 муниципальных образований) по НОКО 2022 года.</w:t>
      </w:r>
    </w:p>
    <w:p w:rsidR="0033378A" w:rsidRPr="0033378A" w:rsidRDefault="0033378A" w:rsidP="0033378A">
      <w:pPr>
        <w:spacing w:line="276" w:lineRule="auto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5"/>
        <w:gridCol w:w="1534"/>
        <w:gridCol w:w="1534"/>
        <w:gridCol w:w="1535"/>
        <w:gridCol w:w="1665"/>
        <w:gridCol w:w="1552"/>
      </w:tblGrid>
      <w:tr w:rsidR="00DC21A6" w:rsidTr="00DC21A6">
        <w:tc>
          <w:tcPr>
            <w:tcW w:w="1557" w:type="dxa"/>
          </w:tcPr>
          <w:p w:rsidR="00DC21A6" w:rsidRDefault="00DC21A6" w:rsidP="00DC21A6">
            <w:pPr>
              <w:jc w:val="center"/>
            </w:pPr>
            <w:r>
              <w:t>Показатели</w:t>
            </w:r>
          </w:p>
        </w:tc>
        <w:tc>
          <w:tcPr>
            <w:tcW w:w="1557" w:type="dxa"/>
          </w:tcPr>
          <w:p w:rsidR="00DC21A6" w:rsidRDefault="00DC21A6" w:rsidP="00DC21A6">
            <w:pPr>
              <w:jc w:val="center"/>
            </w:pPr>
            <w:r>
              <w:t>1 показатель</w:t>
            </w:r>
          </w:p>
        </w:tc>
        <w:tc>
          <w:tcPr>
            <w:tcW w:w="1557" w:type="dxa"/>
          </w:tcPr>
          <w:p w:rsidR="00DC21A6" w:rsidRDefault="00DC21A6" w:rsidP="00DC21A6">
            <w:pPr>
              <w:jc w:val="center"/>
            </w:pPr>
            <w:r>
              <w:t>2 показатель</w:t>
            </w:r>
          </w:p>
        </w:tc>
        <w:tc>
          <w:tcPr>
            <w:tcW w:w="1558" w:type="dxa"/>
          </w:tcPr>
          <w:p w:rsidR="00DC21A6" w:rsidRDefault="00DC21A6" w:rsidP="00DC21A6">
            <w:pPr>
              <w:jc w:val="center"/>
            </w:pPr>
            <w:r>
              <w:t>3 показатель</w:t>
            </w:r>
          </w:p>
        </w:tc>
        <w:tc>
          <w:tcPr>
            <w:tcW w:w="1558" w:type="dxa"/>
          </w:tcPr>
          <w:p w:rsidR="00DC21A6" w:rsidRDefault="00DC21A6" w:rsidP="00DC21A6">
            <w:pPr>
              <w:jc w:val="center"/>
            </w:pPr>
            <w:r>
              <w:t>4 показатель</w:t>
            </w:r>
          </w:p>
        </w:tc>
        <w:tc>
          <w:tcPr>
            <w:tcW w:w="1558" w:type="dxa"/>
          </w:tcPr>
          <w:p w:rsidR="00DC21A6" w:rsidRDefault="00DC21A6" w:rsidP="00DC21A6">
            <w:pPr>
              <w:jc w:val="center"/>
            </w:pPr>
            <w:r>
              <w:t>5 показатель</w:t>
            </w:r>
          </w:p>
        </w:tc>
      </w:tr>
      <w:tr w:rsidR="00DC21A6" w:rsidTr="00DC21A6">
        <w:tc>
          <w:tcPr>
            <w:tcW w:w="1557" w:type="dxa"/>
          </w:tcPr>
          <w:p w:rsidR="00DC21A6" w:rsidRDefault="00DC21A6" w:rsidP="00DC21A6">
            <w:pPr>
              <w:jc w:val="center"/>
            </w:pPr>
            <w:r>
              <w:t>ОУ</w:t>
            </w:r>
          </w:p>
        </w:tc>
        <w:tc>
          <w:tcPr>
            <w:tcW w:w="1557" w:type="dxa"/>
          </w:tcPr>
          <w:p w:rsidR="00DC21A6" w:rsidRPr="00883C9A" w:rsidRDefault="00DC21A6" w:rsidP="00DC21A6">
            <w:pPr>
              <w:jc w:val="center"/>
              <w:rPr>
                <w:sz w:val="16"/>
                <w:szCs w:val="16"/>
              </w:rPr>
            </w:pPr>
            <w:r w:rsidRPr="00883C9A">
              <w:rPr>
                <w:sz w:val="16"/>
                <w:szCs w:val="16"/>
              </w:rPr>
              <w:t>Показатели, характеризующие открытость и доступность информации об организации, осуществляющей образовательную деятельность</w:t>
            </w:r>
          </w:p>
        </w:tc>
        <w:tc>
          <w:tcPr>
            <w:tcW w:w="1557" w:type="dxa"/>
          </w:tcPr>
          <w:p w:rsidR="00DC21A6" w:rsidRPr="00883C9A" w:rsidRDefault="00DC21A6" w:rsidP="00DC21A6">
            <w:pPr>
              <w:jc w:val="center"/>
              <w:rPr>
                <w:sz w:val="16"/>
                <w:szCs w:val="16"/>
              </w:rPr>
            </w:pPr>
            <w:r w:rsidRPr="00883C9A">
              <w:rPr>
                <w:sz w:val="16"/>
                <w:szCs w:val="16"/>
              </w:rPr>
              <w:t>Показатели, характеризующие комфортность условий, в которых осуществляется образовательная деятельность</w:t>
            </w:r>
          </w:p>
        </w:tc>
        <w:tc>
          <w:tcPr>
            <w:tcW w:w="1558" w:type="dxa"/>
          </w:tcPr>
          <w:p w:rsidR="00DC21A6" w:rsidRPr="00883C9A" w:rsidRDefault="00DC21A6" w:rsidP="00DC21A6">
            <w:pPr>
              <w:jc w:val="center"/>
              <w:rPr>
                <w:sz w:val="16"/>
                <w:szCs w:val="16"/>
              </w:rPr>
            </w:pPr>
            <w:r w:rsidRPr="00883C9A">
              <w:rPr>
                <w:sz w:val="16"/>
                <w:szCs w:val="16"/>
              </w:rPr>
              <w:t>Показатели, характеризующие доступность образовательной деятельности для инвалидов</w:t>
            </w:r>
          </w:p>
        </w:tc>
        <w:tc>
          <w:tcPr>
            <w:tcW w:w="1558" w:type="dxa"/>
          </w:tcPr>
          <w:p w:rsidR="00DC21A6" w:rsidRPr="00883C9A" w:rsidRDefault="00DC21A6" w:rsidP="00DC21A6">
            <w:pPr>
              <w:jc w:val="center"/>
              <w:rPr>
                <w:sz w:val="16"/>
                <w:szCs w:val="16"/>
              </w:rPr>
            </w:pPr>
            <w:r w:rsidRPr="00883C9A">
              <w:rPr>
                <w:sz w:val="16"/>
                <w:szCs w:val="16"/>
              </w:rPr>
              <w:t>Показатели, характеризующие доброжелательность, вежливость работников организации</w:t>
            </w:r>
          </w:p>
        </w:tc>
        <w:tc>
          <w:tcPr>
            <w:tcW w:w="1558" w:type="dxa"/>
          </w:tcPr>
          <w:p w:rsidR="00DC21A6" w:rsidRPr="00883C9A" w:rsidRDefault="00DC21A6" w:rsidP="00DC21A6">
            <w:pPr>
              <w:jc w:val="center"/>
              <w:rPr>
                <w:sz w:val="16"/>
                <w:szCs w:val="16"/>
              </w:rPr>
            </w:pPr>
            <w:r w:rsidRPr="00883C9A">
              <w:rPr>
                <w:sz w:val="16"/>
                <w:szCs w:val="16"/>
              </w:rPr>
              <w:t>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DC21A6" w:rsidTr="00DC21A6">
        <w:tc>
          <w:tcPr>
            <w:tcW w:w="1557" w:type="dxa"/>
          </w:tcPr>
          <w:p w:rsidR="00DC21A6" w:rsidRDefault="00DC21A6" w:rsidP="00DC21A6">
            <w:r>
              <w:t>СП ЧСОШ</w:t>
            </w:r>
          </w:p>
        </w:tc>
        <w:tc>
          <w:tcPr>
            <w:tcW w:w="1557" w:type="dxa"/>
          </w:tcPr>
          <w:p w:rsidR="00DC21A6" w:rsidRDefault="00DC21A6" w:rsidP="00DC21A6">
            <w:r>
              <w:t>99,6%</w:t>
            </w:r>
          </w:p>
        </w:tc>
        <w:tc>
          <w:tcPr>
            <w:tcW w:w="1557" w:type="dxa"/>
          </w:tcPr>
          <w:p w:rsidR="00DC21A6" w:rsidRDefault="00DC21A6" w:rsidP="00DC21A6">
            <w:r>
              <w:t>98,5%</w:t>
            </w:r>
          </w:p>
        </w:tc>
        <w:tc>
          <w:tcPr>
            <w:tcW w:w="1558" w:type="dxa"/>
          </w:tcPr>
          <w:p w:rsidR="00DC21A6" w:rsidRDefault="00DC21A6" w:rsidP="00DC21A6">
            <w:r>
              <w:t>91,9%</w:t>
            </w:r>
          </w:p>
        </w:tc>
        <w:tc>
          <w:tcPr>
            <w:tcW w:w="1558" w:type="dxa"/>
          </w:tcPr>
          <w:p w:rsidR="00DC21A6" w:rsidRDefault="00DC21A6" w:rsidP="00DC21A6">
            <w:r>
              <w:t>98,6%</w:t>
            </w:r>
          </w:p>
        </w:tc>
        <w:tc>
          <w:tcPr>
            <w:tcW w:w="1558" w:type="dxa"/>
          </w:tcPr>
          <w:p w:rsidR="00DC21A6" w:rsidRDefault="00DC21A6" w:rsidP="00DC21A6">
            <w:r>
              <w:t>97,4%</w:t>
            </w:r>
          </w:p>
        </w:tc>
      </w:tr>
      <w:tr w:rsidR="00DC21A6" w:rsidTr="00DC21A6">
        <w:tc>
          <w:tcPr>
            <w:tcW w:w="1557" w:type="dxa"/>
          </w:tcPr>
          <w:p w:rsidR="00DC21A6" w:rsidRDefault="00DC21A6" w:rsidP="00DC21A6">
            <w:r>
              <w:t>СП БСОШ</w:t>
            </w:r>
          </w:p>
        </w:tc>
        <w:tc>
          <w:tcPr>
            <w:tcW w:w="1557" w:type="dxa"/>
          </w:tcPr>
          <w:p w:rsidR="00DC21A6" w:rsidRDefault="00DC21A6" w:rsidP="00DC21A6">
            <w:r>
              <w:t>100%</w:t>
            </w:r>
          </w:p>
        </w:tc>
        <w:tc>
          <w:tcPr>
            <w:tcW w:w="1557" w:type="dxa"/>
          </w:tcPr>
          <w:p w:rsidR="00DC21A6" w:rsidRDefault="00DC21A6" w:rsidP="00DC21A6">
            <w:r>
              <w:t>100%</w:t>
            </w:r>
          </w:p>
        </w:tc>
        <w:tc>
          <w:tcPr>
            <w:tcW w:w="1558" w:type="dxa"/>
          </w:tcPr>
          <w:p w:rsidR="00DC21A6" w:rsidRDefault="00DC21A6" w:rsidP="00DC21A6">
            <w:r>
              <w:t>76%</w:t>
            </w:r>
          </w:p>
        </w:tc>
        <w:tc>
          <w:tcPr>
            <w:tcW w:w="1558" w:type="dxa"/>
          </w:tcPr>
          <w:p w:rsidR="00DC21A6" w:rsidRDefault="00DC21A6" w:rsidP="00DC21A6">
            <w:r>
              <w:t>98%</w:t>
            </w:r>
          </w:p>
        </w:tc>
        <w:tc>
          <w:tcPr>
            <w:tcW w:w="1558" w:type="dxa"/>
          </w:tcPr>
          <w:p w:rsidR="00DC21A6" w:rsidRDefault="00DC21A6" w:rsidP="00DC21A6">
            <w:r>
              <w:t>96,5%</w:t>
            </w:r>
          </w:p>
        </w:tc>
      </w:tr>
      <w:tr w:rsidR="00DC21A6" w:rsidTr="00DC21A6">
        <w:tc>
          <w:tcPr>
            <w:tcW w:w="1557" w:type="dxa"/>
          </w:tcPr>
          <w:p w:rsidR="00DC21A6" w:rsidRDefault="00DC21A6" w:rsidP="00DC21A6">
            <w:r>
              <w:t>СП ВРООШ</w:t>
            </w:r>
          </w:p>
        </w:tc>
        <w:tc>
          <w:tcPr>
            <w:tcW w:w="1557" w:type="dxa"/>
          </w:tcPr>
          <w:p w:rsidR="00DC21A6" w:rsidRDefault="00DC21A6" w:rsidP="00DC21A6">
            <w:r>
              <w:t>100%</w:t>
            </w:r>
          </w:p>
        </w:tc>
        <w:tc>
          <w:tcPr>
            <w:tcW w:w="1557" w:type="dxa"/>
          </w:tcPr>
          <w:p w:rsidR="00DC21A6" w:rsidRDefault="00DC21A6" w:rsidP="00DC21A6">
            <w:r>
              <w:t>100%</w:t>
            </w:r>
          </w:p>
        </w:tc>
        <w:tc>
          <w:tcPr>
            <w:tcW w:w="1558" w:type="dxa"/>
          </w:tcPr>
          <w:p w:rsidR="00DC21A6" w:rsidRDefault="00DC21A6" w:rsidP="00DC21A6">
            <w:r>
              <w:t>66%</w:t>
            </w:r>
          </w:p>
        </w:tc>
        <w:tc>
          <w:tcPr>
            <w:tcW w:w="1558" w:type="dxa"/>
          </w:tcPr>
          <w:p w:rsidR="00DC21A6" w:rsidRDefault="00DC21A6" w:rsidP="00DC21A6">
            <w:r>
              <w:t>100%</w:t>
            </w:r>
          </w:p>
        </w:tc>
        <w:tc>
          <w:tcPr>
            <w:tcW w:w="1558" w:type="dxa"/>
          </w:tcPr>
          <w:p w:rsidR="00DC21A6" w:rsidRDefault="00DC21A6" w:rsidP="00DC21A6">
            <w:r>
              <w:t>100%</w:t>
            </w:r>
          </w:p>
        </w:tc>
      </w:tr>
      <w:tr w:rsidR="00DC21A6" w:rsidTr="00DC21A6">
        <w:tc>
          <w:tcPr>
            <w:tcW w:w="1557" w:type="dxa"/>
          </w:tcPr>
          <w:p w:rsidR="00DC21A6" w:rsidRDefault="00DC21A6" w:rsidP="00DC21A6">
            <w:r>
              <w:t>СП НСОШ</w:t>
            </w:r>
          </w:p>
        </w:tc>
        <w:tc>
          <w:tcPr>
            <w:tcW w:w="1557" w:type="dxa"/>
          </w:tcPr>
          <w:p w:rsidR="00DC21A6" w:rsidRDefault="00DC21A6" w:rsidP="00DC21A6">
            <w:r>
              <w:t>100%</w:t>
            </w:r>
          </w:p>
        </w:tc>
        <w:tc>
          <w:tcPr>
            <w:tcW w:w="1557" w:type="dxa"/>
          </w:tcPr>
          <w:p w:rsidR="00DC21A6" w:rsidRDefault="00DC21A6" w:rsidP="00DC21A6">
            <w:r>
              <w:t>100%</w:t>
            </w:r>
          </w:p>
        </w:tc>
        <w:tc>
          <w:tcPr>
            <w:tcW w:w="1558" w:type="dxa"/>
          </w:tcPr>
          <w:p w:rsidR="00DC21A6" w:rsidRDefault="00DC21A6" w:rsidP="00DC21A6">
            <w:r>
              <w:t>52%</w:t>
            </w:r>
          </w:p>
        </w:tc>
        <w:tc>
          <w:tcPr>
            <w:tcW w:w="1558" w:type="dxa"/>
          </w:tcPr>
          <w:p w:rsidR="00DC21A6" w:rsidRDefault="00DC21A6" w:rsidP="00DC21A6">
            <w:r>
              <w:t>98,8%</w:t>
            </w:r>
          </w:p>
        </w:tc>
        <w:tc>
          <w:tcPr>
            <w:tcW w:w="1558" w:type="dxa"/>
          </w:tcPr>
          <w:p w:rsidR="00DC21A6" w:rsidRDefault="00DC21A6" w:rsidP="00DC21A6">
            <w:r>
              <w:t>100%</w:t>
            </w:r>
          </w:p>
        </w:tc>
      </w:tr>
      <w:tr w:rsidR="00DC21A6" w:rsidTr="00DC21A6">
        <w:tc>
          <w:tcPr>
            <w:tcW w:w="1557" w:type="dxa"/>
          </w:tcPr>
          <w:p w:rsidR="00DC21A6" w:rsidRDefault="00DC21A6" w:rsidP="00DC21A6">
            <w:r>
              <w:t>СП МООШ</w:t>
            </w:r>
          </w:p>
        </w:tc>
        <w:tc>
          <w:tcPr>
            <w:tcW w:w="1557" w:type="dxa"/>
          </w:tcPr>
          <w:p w:rsidR="00DC21A6" w:rsidRDefault="00DC21A6" w:rsidP="00DC21A6">
            <w:r>
              <w:t>99,2%</w:t>
            </w:r>
          </w:p>
        </w:tc>
        <w:tc>
          <w:tcPr>
            <w:tcW w:w="1557" w:type="dxa"/>
          </w:tcPr>
          <w:p w:rsidR="00DC21A6" w:rsidRDefault="00DC21A6" w:rsidP="00DC21A6">
            <w:r>
              <w:t>100%</w:t>
            </w:r>
          </w:p>
        </w:tc>
        <w:tc>
          <w:tcPr>
            <w:tcW w:w="1558" w:type="dxa"/>
          </w:tcPr>
          <w:p w:rsidR="00DC21A6" w:rsidRDefault="00DC21A6" w:rsidP="00DC21A6">
            <w:r>
              <w:t>52%</w:t>
            </w:r>
          </w:p>
        </w:tc>
        <w:tc>
          <w:tcPr>
            <w:tcW w:w="1558" w:type="dxa"/>
          </w:tcPr>
          <w:p w:rsidR="00DC21A6" w:rsidRDefault="00DC21A6" w:rsidP="00DC21A6">
            <w:r>
              <w:t>98,4%</w:t>
            </w:r>
          </w:p>
        </w:tc>
        <w:tc>
          <w:tcPr>
            <w:tcW w:w="1558" w:type="dxa"/>
          </w:tcPr>
          <w:p w:rsidR="00DC21A6" w:rsidRDefault="00DC21A6" w:rsidP="00DC21A6">
            <w:r>
              <w:t>97,9%</w:t>
            </w:r>
          </w:p>
        </w:tc>
      </w:tr>
      <w:tr w:rsidR="00DC21A6" w:rsidTr="00DC21A6">
        <w:tc>
          <w:tcPr>
            <w:tcW w:w="1557" w:type="dxa"/>
          </w:tcPr>
          <w:p w:rsidR="00DC21A6" w:rsidRDefault="00DC21A6" w:rsidP="00DC21A6">
            <w:r>
              <w:t>СП ШООШ</w:t>
            </w:r>
          </w:p>
        </w:tc>
        <w:tc>
          <w:tcPr>
            <w:tcW w:w="1557" w:type="dxa"/>
          </w:tcPr>
          <w:p w:rsidR="00DC21A6" w:rsidRDefault="00DC21A6" w:rsidP="00DC21A6">
            <w:r>
              <w:t>100%</w:t>
            </w:r>
          </w:p>
        </w:tc>
        <w:tc>
          <w:tcPr>
            <w:tcW w:w="1557" w:type="dxa"/>
          </w:tcPr>
          <w:p w:rsidR="00DC21A6" w:rsidRDefault="00DC21A6" w:rsidP="00DC21A6">
            <w:r>
              <w:t>100%</w:t>
            </w:r>
          </w:p>
        </w:tc>
        <w:tc>
          <w:tcPr>
            <w:tcW w:w="1558" w:type="dxa"/>
          </w:tcPr>
          <w:p w:rsidR="00DC21A6" w:rsidRDefault="00DC21A6" w:rsidP="00DC21A6">
            <w:r>
              <w:t>40%</w:t>
            </w:r>
          </w:p>
        </w:tc>
        <w:tc>
          <w:tcPr>
            <w:tcW w:w="1558" w:type="dxa"/>
          </w:tcPr>
          <w:p w:rsidR="00DC21A6" w:rsidRDefault="00DC21A6" w:rsidP="00DC21A6">
            <w:r>
              <w:t>100%</w:t>
            </w:r>
          </w:p>
        </w:tc>
        <w:tc>
          <w:tcPr>
            <w:tcW w:w="1558" w:type="dxa"/>
          </w:tcPr>
          <w:p w:rsidR="00DC21A6" w:rsidRDefault="00DC21A6" w:rsidP="00DC21A6">
            <w:r>
              <w:t>100%</w:t>
            </w:r>
          </w:p>
        </w:tc>
      </w:tr>
    </w:tbl>
    <w:p w:rsidR="00883C9A" w:rsidRDefault="00883C9A"/>
    <w:p w:rsidR="00AD0C89" w:rsidRPr="00883C9A" w:rsidRDefault="00883C9A">
      <w:pPr>
        <w:rPr>
          <w:sz w:val="28"/>
          <w:szCs w:val="28"/>
        </w:rPr>
      </w:pPr>
      <w:r w:rsidRPr="00883C9A">
        <w:rPr>
          <w:sz w:val="28"/>
          <w:szCs w:val="28"/>
        </w:rPr>
        <w:t>Общий рейтинг структурных подразделений общеобразовательных организаций по итогам НОКО 2025 года выглядит следующим образом:</w:t>
      </w:r>
    </w:p>
    <w:p w:rsidR="00883C9A" w:rsidRPr="00883C9A" w:rsidRDefault="00883C9A">
      <w:pPr>
        <w:rPr>
          <w:sz w:val="28"/>
          <w:szCs w:val="28"/>
        </w:rPr>
      </w:pPr>
      <w:r w:rsidRPr="00883C9A">
        <w:rPr>
          <w:sz w:val="28"/>
          <w:szCs w:val="28"/>
        </w:rPr>
        <w:t>из 250 ДОУ Пермского края:</w:t>
      </w:r>
    </w:p>
    <w:p w:rsidR="00196F85" w:rsidRPr="00883C9A" w:rsidRDefault="00883C9A" w:rsidP="00196F85">
      <w:pPr>
        <w:rPr>
          <w:sz w:val="28"/>
          <w:szCs w:val="28"/>
        </w:rPr>
      </w:pPr>
      <w:r w:rsidRPr="00196F85">
        <w:rPr>
          <w:b/>
          <w:sz w:val="28"/>
          <w:szCs w:val="28"/>
        </w:rPr>
        <w:t>СП ЧСОШ – 9 место</w:t>
      </w:r>
      <w:r w:rsidR="00196F85">
        <w:rPr>
          <w:sz w:val="28"/>
          <w:szCs w:val="28"/>
        </w:rPr>
        <w:t xml:space="preserve"> (в 2022 из 268</w:t>
      </w:r>
      <w:r w:rsidR="00196F85">
        <w:rPr>
          <w:sz w:val="28"/>
          <w:szCs w:val="28"/>
        </w:rPr>
        <w:t xml:space="preserve"> </w:t>
      </w:r>
      <w:r w:rsidR="00196F85">
        <w:rPr>
          <w:sz w:val="28"/>
          <w:szCs w:val="28"/>
        </w:rPr>
        <w:t>СП</w:t>
      </w:r>
      <w:r w:rsidR="00196F85">
        <w:rPr>
          <w:sz w:val="28"/>
          <w:szCs w:val="28"/>
        </w:rPr>
        <w:t xml:space="preserve"> </w:t>
      </w:r>
      <w:r w:rsidR="00196F85">
        <w:rPr>
          <w:sz w:val="28"/>
          <w:szCs w:val="28"/>
        </w:rPr>
        <w:t>занимали 4</w:t>
      </w:r>
      <w:r w:rsidR="00196F85">
        <w:rPr>
          <w:sz w:val="28"/>
          <w:szCs w:val="28"/>
        </w:rPr>
        <w:t xml:space="preserve"> место)</w:t>
      </w:r>
    </w:p>
    <w:p w:rsidR="00196F85" w:rsidRPr="00883C9A" w:rsidRDefault="00883C9A" w:rsidP="00196F85">
      <w:pPr>
        <w:rPr>
          <w:sz w:val="28"/>
          <w:szCs w:val="28"/>
        </w:rPr>
      </w:pPr>
      <w:r w:rsidRPr="00196F85">
        <w:rPr>
          <w:b/>
          <w:sz w:val="28"/>
          <w:szCs w:val="28"/>
        </w:rPr>
        <w:t>СП БСОШ – 26 место</w:t>
      </w:r>
      <w:r w:rsidR="00196F85">
        <w:rPr>
          <w:sz w:val="28"/>
          <w:szCs w:val="28"/>
        </w:rPr>
        <w:t xml:space="preserve"> </w:t>
      </w:r>
      <w:r w:rsidR="00196F85">
        <w:rPr>
          <w:sz w:val="28"/>
          <w:szCs w:val="28"/>
        </w:rPr>
        <w:t xml:space="preserve">(в 2022 из 268 СП занимали </w:t>
      </w:r>
      <w:r w:rsidR="00196F85">
        <w:rPr>
          <w:sz w:val="28"/>
          <w:szCs w:val="28"/>
        </w:rPr>
        <w:t>12</w:t>
      </w:r>
      <w:r w:rsidR="00196F85">
        <w:rPr>
          <w:sz w:val="28"/>
          <w:szCs w:val="28"/>
        </w:rPr>
        <w:t xml:space="preserve"> место)</w:t>
      </w:r>
    </w:p>
    <w:p w:rsidR="00196F85" w:rsidRPr="00883C9A" w:rsidRDefault="00883C9A" w:rsidP="00196F85">
      <w:pPr>
        <w:rPr>
          <w:sz w:val="28"/>
          <w:szCs w:val="28"/>
        </w:rPr>
      </w:pPr>
      <w:r w:rsidRPr="00196F85">
        <w:rPr>
          <w:b/>
          <w:sz w:val="28"/>
          <w:szCs w:val="28"/>
        </w:rPr>
        <w:t>СП ВРООШ – 31 место</w:t>
      </w:r>
      <w:r w:rsidR="00196F85">
        <w:rPr>
          <w:sz w:val="28"/>
          <w:szCs w:val="28"/>
        </w:rPr>
        <w:t xml:space="preserve"> </w:t>
      </w:r>
      <w:r w:rsidR="00196F85">
        <w:rPr>
          <w:sz w:val="28"/>
          <w:szCs w:val="28"/>
        </w:rPr>
        <w:t xml:space="preserve">(в 2022 из 268 СП занимали </w:t>
      </w:r>
      <w:r w:rsidR="00196F85">
        <w:rPr>
          <w:sz w:val="28"/>
          <w:szCs w:val="28"/>
        </w:rPr>
        <w:t>215</w:t>
      </w:r>
      <w:r w:rsidR="00196F85">
        <w:rPr>
          <w:sz w:val="28"/>
          <w:szCs w:val="28"/>
        </w:rPr>
        <w:t xml:space="preserve"> место)</w:t>
      </w:r>
    </w:p>
    <w:p w:rsidR="00883C9A" w:rsidRPr="00883C9A" w:rsidRDefault="00883C9A">
      <w:pPr>
        <w:rPr>
          <w:sz w:val="28"/>
          <w:szCs w:val="28"/>
        </w:rPr>
      </w:pPr>
      <w:r w:rsidRPr="00196F85">
        <w:rPr>
          <w:b/>
          <w:sz w:val="28"/>
          <w:szCs w:val="28"/>
        </w:rPr>
        <w:t>СП НСОШ – 67 место</w:t>
      </w:r>
      <w:r w:rsidR="00347D7D">
        <w:rPr>
          <w:sz w:val="28"/>
          <w:szCs w:val="28"/>
        </w:rPr>
        <w:t xml:space="preserve"> (в 2022 из 213 ДОУ 102 место)</w:t>
      </w:r>
    </w:p>
    <w:p w:rsidR="00196F85" w:rsidRPr="00883C9A" w:rsidRDefault="00883C9A" w:rsidP="00196F85">
      <w:pPr>
        <w:rPr>
          <w:sz w:val="28"/>
          <w:szCs w:val="28"/>
        </w:rPr>
      </w:pPr>
      <w:r w:rsidRPr="00196F85">
        <w:rPr>
          <w:b/>
          <w:sz w:val="28"/>
          <w:szCs w:val="28"/>
        </w:rPr>
        <w:t>СП МООШ – 75 место</w:t>
      </w:r>
      <w:r w:rsidR="00196F85">
        <w:rPr>
          <w:sz w:val="28"/>
          <w:szCs w:val="28"/>
        </w:rPr>
        <w:t xml:space="preserve"> </w:t>
      </w:r>
      <w:r w:rsidR="00196F85">
        <w:rPr>
          <w:sz w:val="28"/>
          <w:szCs w:val="28"/>
        </w:rPr>
        <w:t xml:space="preserve">(в 2022 из 268 СП занимали </w:t>
      </w:r>
      <w:r w:rsidR="00196F85">
        <w:rPr>
          <w:sz w:val="28"/>
          <w:szCs w:val="28"/>
        </w:rPr>
        <w:t>71</w:t>
      </w:r>
      <w:r w:rsidR="00196F85">
        <w:rPr>
          <w:sz w:val="28"/>
          <w:szCs w:val="28"/>
        </w:rPr>
        <w:t xml:space="preserve"> место)</w:t>
      </w:r>
    </w:p>
    <w:p w:rsidR="00196F85" w:rsidRPr="00883C9A" w:rsidRDefault="00883C9A" w:rsidP="00196F85">
      <w:pPr>
        <w:rPr>
          <w:sz w:val="28"/>
          <w:szCs w:val="28"/>
        </w:rPr>
      </w:pPr>
      <w:r w:rsidRPr="00196F85">
        <w:rPr>
          <w:b/>
          <w:sz w:val="28"/>
          <w:szCs w:val="28"/>
        </w:rPr>
        <w:t>СП ШООШ – 101 место</w:t>
      </w:r>
      <w:r w:rsidR="00196F85">
        <w:rPr>
          <w:sz w:val="28"/>
          <w:szCs w:val="28"/>
        </w:rPr>
        <w:t xml:space="preserve"> </w:t>
      </w:r>
      <w:r w:rsidR="00196F85">
        <w:rPr>
          <w:sz w:val="28"/>
          <w:szCs w:val="28"/>
        </w:rPr>
        <w:t xml:space="preserve">(в 2022 из 268 СП занимали </w:t>
      </w:r>
      <w:r w:rsidR="00196F85">
        <w:rPr>
          <w:sz w:val="28"/>
          <w:szCs w:val="28"/>
        </w:rPr>
        <w:t>232</w:t>
      </w:r>
      <w:r w:rsidR="00196F85">
        <w:rPr>
          <w:sz w:val="28"/>
          <w:szCs w:val="28"/>
        </w:rPr>
        <w:t xml:space="preserve"> место)</w:t>
      </w:r>
    </w:p>
    <w:p w:rsidR="00883C9A" w:rsidRPr="00883C9A" w:rsidRDefault="00883C9A">
      <w:pPr>
        <w:rPr>
          <w:sz w:val="28"/>
          <w:szCs w:val="28"/>
        </w:rPr>
      </w:pPr>
    </w:p>
    <w:p w:rsidR="00883C9A" w:rsidRPr="00883C9A" w:rsidRDefault="00883C9A">
      <w:pPr>
        <w:rPr>
          <w:sz w:val="28"/>
          <w:szCs w:val="28"/>
        </w:rPr>
      </w:pPr>
      <w:bookmarkStart w:id="0" w:name="_GoBack"/>
      <w:bookmarkEnd w:id="0"/>
    </w:p>
    <w:sectPr w:rsidR="00883C9A" w:rsidRPr="00883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2066"/>
    <w:multiLevelType w:val="hybridMultilevel"/>
    <w:tmpl w:val="4688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01"/>
    <w:rsid w:val="00196F85"/>
    <w:rsid w:val="0033378A"/>
    <w:rsid w:val="00347D7D"/>
    <w:rsid w:val="00432701"/>
    <w:rsid w:val="00773EF5"/>
    <w:rsid w:val="00883C9A"/>
    <w:rsid w:val="00920087"/>
    <w:rsid w:val="00AD0C89"/>
    <w:rsid w:val="00DC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6B10"/>
  <w15:chartTrackingRefBased/>
  <w15:docId w15:val="{8236417E-D858-4DCC-88BD-ACA6198E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78A"/>
    <w:pPr>
      <w:ind w:left="720"/>
      <w:contextualSpacing/>
    </w:pPr>
  </w:style>
  <w:style w:type="table" w:styleId="a4">
    <w:name w:val="Table Grid"/>
    <w:basedOn w:val="a1"/>
    <w:uiPriority w:val="39"/>
    <w:rsid w:val="00DC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6F8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6F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8</cp:revision>
  <cp:lastPrinted>2025-12-25T10:36:00Z</cp:lastPrinted>
  <dcterms:created xsi:type="dcterms:W3CDTF">2025-12-23T05:35:00Z</dcterms:created>
  <dcterms:modified xsi:type="dcterms:W3CDTF">2025-12-25T10:42:00Z</dcterms:modified>
</cp:coreProperties>
</file>